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7B99" w:rsidRPr="00C813FF" w:rsidRDefault="00DD7B99" w:rsidP="006619A8">
      <w:pPr>
        <w:spacing w:line="480" w:lineRule="auto"/>
        <w:jc w:val="center"/>
        <w:rPr>
          <w:rFonts w:ascii="Times New Roman" w:hAnsi="Times New Roman" w:cs="Times New Roman"/>
          <w:sz w:val="24"/>
          <w:szCs w:val="24"/>
        </w:rPr>
      </w:pPr>
      <w:r w:rsidRPr="00C813FF">
        <w:rPr>
          <w:rFonts w:ascii="Times New Roman" w:hAnsi="Times New Roman" w:cs="Times New Roman"/>
          <w:sz w:val="24"/>
          <w:szCs w:val="24"/>
        </w:rPr>
        <w:t>MEMORANDUM</w:t>
      </w:r>
    </w:p>
    <w:p w:rsidR="00DD7B99" w:rsidRPr="00C813FF" w:rsidRDefault="00DD7B99" w:rsidP="006619A8">
      <w:pPr>
        <w:spacing w:line="480" w:lineRule="auto"/>
        <w:rPr>
          <w:rFonts w:ascii="Times New Roman" w:hAnsi="Times New Roman" w:cs="Times New Roman"/>
          <w:sz w:val="24"/>
          <w:szCs w:val="24"/>
        </w:rPr>
      </w:pPr>
      <w:r w:rsidRPr="00C813FF">
        <w:rPr>
          <w:rFonts w:ascii="Times New Roman" w:hAnsi="Times New Roman" w:cs="Times New Roman"/>
          <w:sz w:val="24"/>
          <w:szCs w:val="24"/>
        </w:rPr>
        <w:t>From: Tax Advisor</w:t>
      </w:r>
    </w:p>
    <w:p w:rsidR="00DD7B99" w:rsidRPr="00C813FF" w:rsidRDefault="00DD7B99" w:rsidP="006619A8">
      <w:pPr>
        <w:spacing w:line="480" w:lineRule="auto"/>
        <w:rPr>
          <w:rFonts w:ascii="Times New Roman" w:hAnsi="Times New Roman" w:cs="Times New Roman"/>
          <w:sz w:val="24"/>
          <w:szCs w:val="24"/>
        </w:rPr>
      </w:pPr>
      <w:r w:rsidRPr="00C813FF">
        <w:rPr>
          <w:rFonts w:ascii="Times New Roman" w:hAnsi="Times New Roman" w:cs="Times New Roman"/>
          <w:sz w:val="24"/>
          <w:szCs w:val="24"/>
        </w:rPr>
        <w:t>To: Nora, the owner C-C Bakery</w:t>
      </w:r>
    </w:p>
    <w:p w:rsidR="00DD7B99" w:rsidRPr="00C813FF" w:rsidRDefault="00FD1951" w:rsidP="006619A8">
      <w:pPr>
        <w:spacing w:line="480" w:lineRule="auto"/>
        <w:rPr>
          <w:rFonts w:ascii="Times New Roman" w:hAnsi="Times New Roman" w:cs="Times New Roman"/>
          <w:sz w:val="24"/>
          <w:szCs w:val="24"/>
        </w:rPr>
      </w:pPr>
      <w:r w:rsidRPr="00C813FF">
        <w:rPr>
          <w:rFonts w:ascii="Times New Roman" w:hAnsi="Times New Roman" w:cs="Times New Roman"/>
          <w:sz w:val="24"/>
          <w:szCs w:val="24"/>
        </w:rPr>
        <w:t>Date:</w:t>
      </w:r>
    </w:p>
    <w:p w:rsidR="00DD7B99" w:rsidRPr="00C813FF" w:rsidRDefault="00FD1951" w:rsidP="006619A8">
      <w:pPr>
        <w:spacing w:line="480" w:lineRule="auto"/>
        <w:rPr>
          <w:rFonts w:ascii="Times New Roman" w:hAnsi="Times New Roman" w:cs="Times New Roman"/>
          <w:b/>
          <w:sz w:val="24"/>
          <w:szCs w:val="24"/>
        </w:rPr>
      </w:pPr>
      <w:r w:rsidRPr="00C813FF">
        <w:rPr>
          <w:rFonts w:ascii="Times New Roman" w:hAnsi="Times New Roman" w:cs="Times New Roman"/>
          <w:b/>
          <w:sz w:val="24"/>
          <w:szCs w:val="24"/>
        </w:rPr>
        <w:t>SUBJECT:  RECOMMENDATIONS BASED ON C-C BAKERY SCENARIO</w:t>
      </w:r>
    </w:p>
    <w:p w:rsidR="005B5AEC" w:rsidRPr="00C813FF" w:rsidRDefault="000343DF" w:rsidP="006619A8">
      <w:pPr>
        <w:spacing w:line="480" w:lineRule="auto"/>
        <w:jc w:val="both"/>
        <w:rPr>
          <w:rFonts w:ascii="Times New Roman" w:hAnsi="Times New Roman" w:cs="Times New Roman"/>
          <w:sz w:val="24"/>
          <w:szCs w:val="24"/>
        </w:rPr>
      </w:pPr>
      <w:r w:rsidRPr="00C813FF">
        <w:rPr>
          <w:rFonts w:ascii="Times New Roman" w:hAnsi="Times New Roman" w:cs="Times New Roman"/>
          <w:sz w:val="24"/>
          <w:szCs w:val="24"/>
        </w:rPr>
        <w:tab/>
      </w:r>
      <w:r w:rsidR="00820103" w:rsidRPr="00C813FF">
        <w:rPr>
          <w:rFonts w:ascii="Times New Roman" w:hAnsi="Times New Roman" w:cs="Times New Roman"/>
          <w:sz w:val="24"/>
          <w:szCs w:val="24"/>
        </w:rPr>
        <w:t>An asset must meet a certain criterion</w:t>
      </w:r>
      <w:r w:rsidR="008E755A" w:rsidRPr="00C813FF">
        <w:rPr>
          <w:rFonts w:ascii="Times New Roman" w:hAnsi="Times New Roman" w:cs="Times New Roman"/>
          <w:sz w:val="24"/>
          <w:szCs w:val="24"/>
        </w:rPr>
        <w:t xml:space="preserve"> for it</w:t>
      </w:r>
      <w:r w:rsidR="00820103" w:rsidRPr="00C813FF">
        <w:rPr>
          <w:rFonts w:ascii="Times New Roman" w:hAnsi="Times New Roman" w:cs="Times New Roman"/>
          <w:sz w:val="24"/>
          <w:szCs w:val="24"/>
        </w:rPr>
        <w:t xml:space="preserve"> to qualify for bonus depreciation. It must be new and have a depreciable life that does not end before it is placed into service by the taxpayer. It also must be acquired by purchase from an unrelated party other than as part of </w:t>
      </w:r>
      <w:r w:rsidR="00207E0D">
        <w:rPr>
          <w:rFonts w:ascii="Times New Roman" w:hAnsi="Times New Roman" w:cs="Times New Roman"/>
          <w:sz w:val="24"/>
          <w:szCs w:val="24"/>
        </w:rPr>
        <w:t xml:space="preserve">a </w:t>
      </w:r>
      <w:r w:rsidR="00820103" w:rsidRPr="00C813FF">
        <w:rPr>
          <w:rFonts w:ascii="Times New Roman" w:hAnsi="Times New Roman" w:cs="Times New Roman"/>
          <w:sz w:val="24"/>
          <w:szCs w:val="24"/>
        </w:rPr>
        <w:t>kind exc</w:t>
      </w:r>
      <w:r w:rsidR="005B5AEC" w:rsidRPr="00C813FF">
        <w:rPr>
          <w:rFonts w:ascii="Times New Roman" w:hAnsi="Times New Roman" w:cs="Times New Roman"/>
          <w:sz w:val="24"/>
          <w:szCs w:val="24"/>
        </w:rPr>
        <w:t>hange or involuntary conversion</w:t>
      </w:r>
      <w:r w:rsidR="007375B0">
        <w:rPr>
          <w:rFonts w:ascii="Times New Roman" w:hAnsi="Times New Roman" w:cs="Times New Roman"/>
          <w:sz w:val="24"/>
          <w:szCs w:val="24"/>
        </w:rPr>
        <w:t xml:space="preserve"> (</w:t>
      </w:r>
      <w:proofErr w:type="spellStart"/>
      <w:r w:rsidR="007375B0">
        <w:rPr>
          <w:rFonts w:ascii="Times New Roman" w:eastAsia="Times New Roman" w:hAnsi="Times New Roman" w:cs="Times New Roman"/>
          <w:sz w:val="24"/>
          <w:szCs w:val="24"/>
          <w:lang w:val="en-AU" w:eastAsia="en-AU"/>
        </w:rPr>
        <w:t>Ohrn</w:t>
      </w:r>
      <w:proofErr w:type="spellEnd"/>
      <w:r w:rsidR="007375B0">
        <w:rPr>
          <w:rFonts w:ascii="Times New Roman" w:eastAsia="Times New Roman" w:hAnsi="Times New Roman" w:cs="Times New Roman"/>
          <w:sz w:val="24"/>
          <w:szCs w:val="24"/>
          <w:lang w:val="en-AU" w:eastAsia="en-AU"/>
        </w:rPr>
        <w:t xml:space="preserve">, </w:t>
      </w:r>
      <w:r w:rsidR="007375B0" w:rsidRPr="007375B0">
        <w:rPr>
          <w:rFonts w:ascii="Times New Roman" w:eastAsia="Times New Roman" w:hAnsi="Times New Roman" w:cs="Times New Roman"/>
          <w:sz w:val="24"/>
          <w:szCs w:val="24"/>
          <w:lang w:val="en-AU" w:eastAsia="en-AU"/>
        </w:rPr>
        <w:t>2019).</w:t>
      </w:r>
      <w:r w:rsidR="005B5AEC" w:rsidRPr="00C813FF">
        <w:rPr>
          <w:rFonts w:ascii="Times New Roman" w:hAnsi="Times New Roman" w:cs="Times New Roman"/>
          <w:sz w:val="24"/>
          <w:szCs w:val="24"/>
        </w:rPr>
        <w:t xml:space="preserve"> There must be</w:t>
      </w:r>
      <w:r w:rsidR="00820103" w:rsidRPr="00C813FF">
        <w:rPr>
          <w:rFonts w:ascii="Times New Roman" w:hAnsi="Times New Roman" w:cs="Times New Roman"/>
          <w:sz w:val="24"/>
          <w:szCs w:val="24"/>
        </w:rPr>
        <w:t xml:space="preserve"> no written binding contract existed with respect to acquiring property prior to July 22, 2017. </w:t>
      </w:r>
    </w:p>
    <w:p w:rsidR="005B5AEC" w:rsidRPr="00C813FF" w:rsidRDefault="000343DF" w:rsidP="006619A8">
      <w:pPr>
        <w:spacing w:line="480" w:lineRule="auto"/>
        <w:jc w:val="both"/>
        <w:rPr>
          <w:rFonts w:ascii="Times New Roman" w:hAnsi="Times New Roman" w:cs="Times New Roman"/>
          <w:sz w:val="24"/>
          <w:szCs w:val="24"/>
        </w:rPr>
      </w:pPr>
      <w:r w:rsidRPr="00C813FF">
        <w:rPr>
          <w:rFonts w:ascii="Times New Roman" w:hAnsi="Times New Roman" w:cs="Times New Roman"/>
          <w:sz w:val="24"/>
          <w:szCs w:val="24"/>
        </w:rPr>
        <w:tab/>
      </w:r>
      <w:r w:rsidR="00207E0D">
        <w:rPr>
          <w:rFonts w:ascii="Times New Roman" w:hAnsi="Times New Roman" w:cs="Times New Roman"/>
          <w:sz w:val="24"/>
          <w:szCs w:val="24"/>
        </w:rPr>
        <w:t xml:space="preserve">For Nora to </w:t>
      </w:r>
      <w:r w:rsidR="005B5AEC" w:rsidRPr="00C813FF">
        <w:rPr>
          <w:rFonts w:ascii="Times New Roman" w:hAnsi="Times New Roman" w:cs="Times New Roman"/>
          <w:sz w:val="24"/>
          <w:szCs w:val="24"/>
        </w:rPr>
        <w:t>take bonus depreciation, the assets must fall under Section 168 of the Internal Revenue Code. The new oven and bakery display case qualif</w:t>
      </w:r>
      <w:r w:rsidR="00207E0D">
        <w:rPr>
          <w:rFonts w:ascii="Times New Roman" w:hAnsi="Times New Roman" w:cs="Times New Roman"/>
          <w:sz w:val="24"/>
          <w:szCs w:val="24"/>
        </w:rPr>
        <w:t>ies</w:t>
      </w:r>
      <w:r w:rsidR="005B5AEC" w:rsidRPr="00C813FF">
        <w:rPr>
          <w:rFonts w:ascii="Times New Roman" w:hAnsi="Times New Roman" w:cs="Times New Roman"/>
          <w:sz w:val="24"/>
          <w:szCs w:val="24"/>
        </w:rPr>
        <w:t xml:space="preserve"> for this deduction because they are listed in subsection (k) (12) as qualifying machinery or equipment for purposes of section 179(a), which is also mentioned in Section 168. </w:t>
      </w:r>
      <w:r w:rsidR="00207E0D">
        <w:rPr>
          <w:rFonts w:ascii="Times New Roman" w:hAnsi="Times New Roman" w:cs="Times New Roman"/>
          <w:sz w:val="24"/>
          <w:szCs w:val="24"/>
        </w:rPr>
        <w:t>S</w:t>
      </w:r>
      <w:r w:rsidR="005B5AEC" w:rsidRPr="00C813FF">
        <w:rPr>
          <w:rFonts w:ascii="Times New Roman" w:hAnsi="Times New Roman" w:cs="Times New Roman"/>
          <w:sz w:val="24"/>
          <w:szCs w:val="24"/>
        </w:rPr>
        <w:t>ection 168, or bonus depreciation, is not a</w:t>
      </w:r>
      <w:r w:rsidR="00207E0D">
        <w:rPr>
          <w:rFonts w:ascii="Times New Roman" w:hAnsi="Times New Roman" w:cs="Times New Roman"/>
          <w:sz w:val="24"/>
          <w:szCs w:val="24"/>
        </w:rPr>
        <w:t xml:space="preserve">vailable for the other assets. </w:t>
      </w:r>
      <w:r w:rsidR="005B5AEC" w:rsidRPr="00C813FF">
        <w:rPr>
          <w:rFonts w:ascii="Times New Roman" w:hAnsi="Times New Roman" w:cs="Times New Roman"/>
          <w:sz w:val="24"/>
          <w:szCs w:val="24"/>
        </w:rPr>
        <w:t xml:space="preserve">Nora's business must have placed into service during </w:t>
      </w:r>
      <w:r w:rsidR="00207E0D">
        <w:rPr>
          <w:rFonts w:ascii="Times New Roman" w:hAnsi="Times New Roman" w:cs="Times New Roman"/>
          <w:sz w:val="24"/>
          <w:szCs w:val="24"/>
        </w:rPr>
        <w:t xml:space="preserve">the </w:t>
      </w:r>
      <w:r w:rsidR="005B5AEC" w:rsidRPr="00C813FF">
        <w:rPr>
          <w:rFonts w:ascii="Times New Roman" w:hAnsi="Times New Roman" w:cs="Times New Roman"/>
          <w:sz w:val="24"/>
          <w:szCs w:val="24"/>
        </w:rPr>
        <w:t>taxable year 2017 new or used tangible property with a recovery period of 20 years or less (such as computers) that cost more than $510,000 and are subject to section 168(k</w:t>
      </w:r>
      <w:r w:rsidRPr="00C813FF">
        <w:rPr>
          <w:rFonts w:ascii="Times New Roman" w:hAnsi="Times New Roman" w:cs="Times New Roman"/>
          <w:sz w:val="24"/>
          <w:szCs w:val="24"/>
        </w:rPr>
        <w:t>) (</w:t>
      </w:r>
      <w:r w:rsidR="005B5AEC" w:rsidRPr="00C813FF">
        <w:rPr>
          <w:rFonts w:ascii="Times New Roman" w:hAnsi="Times New Roman" w:cs="Times New Roman"/>
          <w:sz w:val="24"/>
          <w:szCs w:val="24"/>
        </w:rPr>
        <w:t>12).</w:t>
      </w:r>
    </w:p>
    <w:p w:rsidR="00C9110F" w:rsidRPr="00C813FF" w:rsidRDefault="009B4AEA" w:rsidP="006619A8">
      <w:pPr>
        <w:spacing w:line="480" w:lineRule="auto"/>
        <w:jc w:val="both"/>
        <w:rPr>
          <w:rFonts w:ascii="Times New Roman" w:hAnsi="Times New Roman" w:cs="Times New Roman"/>
          <w:sz w:val="24"/>
          <w:szCs w:val="24"/>
        </w:rPr>
      </w:pPr>
      <w:r w:rsidRPr="00C813FF">
        <w:rPr>
          <w:rFonts w:ascii="Times New Roman" w:hAnsi="Times New Roman" w:cs="Times New Roman"/>
          <w:sz w:val="24"/>
          <w:szCs w:val="24"/>
        </w:rPr>
        <w:tab/>
      </w:r>
      <w:r w:rsidR="00C9110F" w:rsidRPr="00C813FF">
        <w:rPr>
          <w:rFonts w:ascii="Times New Roman" w:hAnsi="Times New Roman" w:cs="Times New Roman"/>
          <w:sz w:val="24"/>
          <w:szCs w:val="24"/>
        </w:rPr>
        <w:t>The refrigerator/freezer and mixer do not qualify for this deduction because they are listed in subsection (k</w:t>
      </w:r>
      <w:r w:rsidR="00C9110F" w:rsidRPr="00C813FF">
        <w:rPr>
          <w:rFonts w:ascii="Times New Roman" w:hAnsi="Times New Roman" w:cs="Times New Roman"/>
          <w:sz w:val="24"/>
          <w:szCs w:val="24"/>
        </w:rPr>
        <w:t>) (</w:t>
      </w:r>
      <w:r w:rsidR="00C9110F" w:rsidRPr="00C813FF">
        <w:rPr>
          <w:rFonts w:ascii="Times New Roman" w:hAnsi="Times New Roman" w:cs="Times New Roman"/>
          <w:sz w:val="24"/>
          <w:szCs w:val="24"/>
        </w:rPr>
        <w:t>13) as qualifying leasehold improvements to the building or if located outside of the building, to the land that is part of a qualified r</w:t>
      </w:r>
      <w:r w:rsidR="00C9110F" w:rsidRPr="00C813FF">
        <w:rPr>
          <w:rFonts w:ascii="Times New Roman" w:hAnsi="Times New Roman" w:cs="Times New Roman"/>
          <w:sz w:val="24"/>
          <w:szCs w:val="24"/>
        </w:rPr>
        <w:t>eal property trade or business.</w:t>
      </w:r>
      <w:r w:rsidR="008E755A" w:rsidRPr="00C813FF">
        <w:rPr>
          <w:rFonts w:ascii="Times New Roman" w:hAnsi="Times New Roman" w:cs="Times New Roman"/>
          <w:sz w:val="24"/>
          <w:szCs w:val="24"/>
        </w:rPr>
        <w:t xml:space="preserve"> </w:t>
      </w:r>
      <w:r w:rsidR="00C813FF" w:rsidRPr="00C813FF">
        <w:rPr>
          <w:rFonts w:ascii="Times New Roman" w:hAnsi="Times New Roman" w:cs="Times New Roman"/>
          <w:sz w:val="24"/>
          <w:szCs w:val="24"/>
        </w:rPr>
        <w:t xml:space="preserve">Nora will have to use straight-line depreciation for the items she placed in service </w:t>
      </w:r>
      <w:r w:rsidR="00207E0D">
        <w:rPr>
          <w:rFonts w:ascii="Times New Roman" w:hAnsi="Times New Roman" w:cs="Times New Roman"/>
          <w:sz w:val="24"/>
          <w:szCs w:val="24"/>
        </w:rPr>
        <w:t>i</w:t>
      </w:r>
      <w:r w:rsidR="00C813FF" w:rsidRPr="00C813FF">
        <w:rPr>
          <w:rFonts w:ascii="Times New Roman" w:hAnsi="Times New Roman" w:cs="Times New Roman"/>
          <w:sz w:val="24"/>
          <w:szCs w:val="24"/>
        </w:rPr>
        <w:t xml:space="preserve">n January. </w:t>
      </w:r>
      <w:r w:rsidR="008E755A" w:rsidRPr="00C813FF">
        <w:rPr>
          <w:rFonts w:ascii="Times New Roman" w:hAnsi="Times New Roman" w:cs="Times New Roman"/>
          <w:sz w:val="24"/>
          <w:szCs w:val="24"/>
        </w:rPr>
        <w:t xml:space="preserve">To take </w:t>
      </w:r>
      <w:r w:rsidR="00207E0D">
        <w:rPr>
          <w:rFonts w:ascii="Times New Roman" w:hAnsi="Times New Roman" w:cs="Times New Roman"/>
          <w:sz w:val="24"/>
          <w:szCs w:val="24"/>
        </w:rPr>
        <w:t xml:space="preserve">an </w:t>
      </w:r>
      <w:r w:rsidR="008E755A" w:rsidRPr="00C813FF">
        <w:rPr>
          <w:rFonts w:ascii="Times New Roman" w:hAnsi="Times New Roman" w:cs="Times New Roman"/>
          <w:sz w:val="24"/>
          <w:szCs w:val="24"/>
        </w:rPr>
        <w:t xml:space="preserve">extra </w:t>
      </w:r>
      <w:r w:rsidR="008E755A" w:rsidRPr="00C813FF">
        <w:rPr>
          <w:rFonts w:ascii="Times New Roman" w:hAnsi="Times New Roman" w:cs="Times New Roman"/>
          <w:sz w:val="24"/>
          <w:szCs w:val="24"/>
        </w:rPr>
        <w:lastRenderedPageBreak/>
        <w:t xml:space="preserve">deduction under section 179D, the total cost of both qualified </w:t>
      </w:r>
      <w:r w:rsidR="00207E0D">
        <w:rPr>
          <w:rFonts w:ascii="Times New Roman" w:hAnsi="Times New Roman" w:cs="Times New Roman"/>
          <w:sz w:val="24"/>
          <w:szCs w:val="24"/>
        </w:rPr>
        <w:t>and excluded properties</w:t>
      </w:r>
      <w:r w:rsidR="008E755A" w:rsidRPr="00C813FF">
        <w:rPr>
          <w:rFonts w:ascii="Times New Roman" w:hAnsi="Times New Roman" w:cs="Times New Roman"/>
          <w:sz w:val="24"/>
          <w:szCs w:val="24"/>
        </w:rPr>
        <w:t xml:space="preserve"> must be less than $200,000. The limit for exclusion from income is 100% if </w:t>
      </w:r>
      <w:r w:rsidR="00207E0D">
        <w:rPr>
          <w:rFonts w:ascii="Times New Roman" w:hAnsi="Times New Roman" w:cs="Times New Roman"/>
          <w:sz w:val="24"/>
          <w:szCs w:val="24"/>
        </w:rPr>
        <w:t xml:space="preserve">the </w:t>
      </w:r>
      <w:r w:rsidR="008E755A" w:rsidRPr="00C813FF">
        <w:rPr>
          <w:rFonts w:ascii="Times New Roman" w:hAnsi="Times New Roman" w:cs="Times New Roman"/>
          <w:sz w:val="24"/>
          <w:szCs w:val="24"/>
        </w:rPr>
        <w:t xml:space="preserve">equipment was acquired </w:t>
      </w:r>
      <w:r w:rsidR="00207E0D">
        <w:rPr>
          <w:rFonts w:ascii="Times New Roman" w:hAnsi="Times New Roman" w:cs="Times New Roman"/>
          <w:sz w:val="24"/>
          <w:szCs w:val="24"/>
        </w:rPr>
        <w:t>before</w:t>
      </w:r>
      <w:r w:rsidR="008E755A" w:rsidRPr="00C813FF">
        <w:rPr>
          <w:rFonts w:ascii="Times New Roman" w:hAnsi="Times New Roman" w:cs="Times New Roman"/>
          <w:sz w:val="24"/>
          <w:szCs w:val="24"/>
        </w:rPr>
        <w:t xml:space="preserve"> September 29</w:t>
      </w:r>
      <w:r w:rsidR="00207E0D">
        <w:rPr>
          <w:rFonts w:ascii="Times New Roman" w:hAnsi="Times New Roman" w:cs="Times New Roman"/>
          <w:sz w:val="24"/>
          <w:szCs w:val="24"/>
        </w:rPr>
        <w:t>,</w:t>
      </w:r>
      <w:r w:rsidR="008E755A" w:rsidRPr="00C813FF">
        <w:rPr>
          <w:rFonts w:ascii="Times New Roman" w:hAnsi="Times New Roman" w:cs="Times New Roman"/>
          <w:sz w:val="24"/>
          <w:szCs w:val="24"/>
        </w:rPr>
        <w:t xml:space="preserve"> 2016; 50% if the equipment was acquired after that date but before December 31</w:t>
      </w:r>
      <w:r w:rsidR="00207E0D">
        <w:rPr>
          <w:rFonts w:ascii="Times New Roman" w:hAnsi="Times New Roman" w:cs="Times New Roman"/>
          <w:sz w:val="24"/>
          <w:szCs w:val="24"/>
        </w:rPr>
        <w:t>,</w:t>
      </w:r>
      <w:r w:rsidR="008E755A" w:rsidRPr="00C813FF">
        <w:rPr>
          <w:rFonts w:ascii="Times New Roman" w:hAnsi="Times New Roman" w:cs="Times New Roman"/>
          <w:sz w:val="24"/>
          <w:szCs w:val="24"/>
        </w:rPr>
        <w:t xml:space="preserve"> 2020</w:t>
      </w:r>
    </w:p>
    <w:p w:rsidR="00C9110F" w:rsidRPr="00C813FF" w:rsidRDefault="009B4AEA" w:rsidP="006619A8">
      <w:pPr>
        <w:spacing w:line="480" w:lineRule="auto"/>
        <w:jc w:val="both"/>
        <w:rPr>
          <w:rFonts w:ascii="Times New Roman" w:hAnsi="Times New Roman" w:cs="Times New Roman"/>
          <w:sz w:val="24"/>
          <w:szCs w:val="24"/>
        </w:rPr>
      </w:pPr>
      <w:r w:rsidRPr="00C813FF">
        <w:rPr>
          <w:rFonts w:ascii="Times New Roman" w:hAnsi="Times New Roman" w:cs="Times New Roman"/>
          <w:sz w:val="24"/>
          <w:szCs w:val="24"/>
        </w:rPr>
        <w:tab/>
      </w:r>
      <w:r w:rsidR="00C9110F" w:rsidRPr="00C813FF">
        <w:rPr>
          <w:rFonts w:ascii="Times New Roman" w:hAnsi="Times New Roman" w:cs="Times New Roman"/>
          <w:sz w:val="24"/>
          <w:szCs w:val="24"/>
        </w:rPr>
        <w:t>The bakery has been operating for three years and averages $500,000 annually</w:t>
      </w:r>
      <w:r w:rsidR="00207E0D">
        <w:rPr>
          <w:rFonts w:ascii="Times New Roman" w:hAnsi="Times New Roman" w:cs="Times New Roman"/>
          <w:sz w:val="24"/>
          <w:szCs w:val="24"/>
        </w:rPr>
        <w:t>,</w:t>
      </w:r>
      <w:r w:rsidR="00C9110F" w:rsidRPr="00C813FF">
        <w:rPr>
          <w:rFonts w:ascii="Times New Roman" w:hAnsi="Times New Roman" w:cs="Times New Roman"/>
          <w:sz w:val="24"/>
          <w:szCs w:val="24"/>
        </w:rPr>
        <w:t xml:space="preserve"> so it falls under section 179(b)(</w:t>
      </w:r>
      <w:r w:rsidR="00C9110F" w:rsidRPr="00C813FF">
        <w:rPr>
          <w:rFonts w:ascii="Times New Roman" w:hAnsi="Times New Roman" w:cs="Times New Roman"/>
          <w:sz w:val="24"/>
          <w:szCs w:val="24"/>
        </w:rPr>
        <w:t>I</w:t>
      </w:r>
      <w:r w:rsidR="00C9110F" w:rsidRPr="00C813FF">
        <w:rPr>
          <w:rFonts w:ascii="Times New Roman" w:hAnsi="Times New Roman" w:cs="Times New Roman"/>
          <w:sz w:val="24"/>
          <w:szCs w:val="24"/>
        </w:rPr>
        <w:t>). The bakery can take deductions for all qualifying assets in year one as long as they are used exclusively in the business. It cannot use Section 168 to make depreciation adjustments on any other asset because none qualify.</w:t>
      </w:r>
    </w:p>
    <w:p w:rsidR="00820103" w:rsidRPr="00C813FF" w:rsidRDefault="00A40169" w:rsidP="006619A8">
      <w:pPr>
        <w:spacing w:line="480" w:lineRule="auto"/>
        <w:jc w:val="both"/>
        <w:rPr>
          <w:rFonts w:ascii="Times New Roman" w:hAnsi="Times New Roman" w:cs="Times New Roman"/>
          <w:sz w:val="24"/>
          <w:szCs w:val="24"/>
        </w:rPr>
      </w:pPr>
      <w:r w:rsidRPr="00C813FF">
        <w:rPr>
          <w:rFonts w:ascii="Times New Roman" w:hAnsi="Times New Roman" w:cs="Times New Roman"/>
          <w:sz w:val="24"/>
          <w:szCs w:val="24"/>
        </w:rPr>
        <w:tab/>
        <w:t>Section 168(b)(l) define</w:t>
      </w:r>
      <w:r w:rsidR="00207E0D">
        <w:rPr>
          <w:rFonts w:ascii="Times New Roman" w:hAnsi="Times New Roman" w:cs="Times New Roman"/>
          <w:sz w:val="24"/>
          <w:szCs w:val="24"/>
        </w:rPr>
        <w:t>d</w:t>
      </w:r>
      <w:r w:rsidRPr="00C813FF">
        <w:rPr>
          <w:rFonts w:ascii="Times New Roman" w:hAnsi="Times New Roman" w:cs="Times New Roman"/>
          <w:sz w:val="24"/>
          <w:szCs w:val="24"/>
        </w:rPr>
        <w:t xml:space="preserve"> qualified property as tangible personal property with an acquisition date of January 01, 2020</w:t>
      </w:r>
      <w:r w:rsidR="00207E0D">
        <w:rPr>
          <w:rFonts w:ascii="Times New Roman" w:hAnsi="Times New Roman" w:cs="Times New Roman"/>
          <w:sz w:val="24"/>
          <w:szCs w:val="24"/>
        </w:rPr>
        <w:t>,</w:t>
      </w:r>
      <w:r w:rsidRPr="00C813FF">
        <w:rPr>
          <w:rFonts w:ascii="Times New Roman" w:hAnsi="Times New Roman" w:cs="Times New Roman"/>
          <w:sz w:val="24"/>
          <w:szCs w:val="24"/>
        </w:rPr>
        <w:t xml:space="preserve"> and placed into service before January 01, 2024. Section 168 provides that you can take bonus de</w:t>
      </w:r>
      <w:r w:rsidR="008E755A" w:rsidRPr="00C813FF">
        <w:rPr>
          <w:rFonts w:ascii="Times New Roman" w:hAnsi="Times New Roman" w:cs="Times New Roman"/>
          <w:sz w:val="24"/>
          <w:szCs w:val="24"/>
        </w:rPr>
        <w:t>preciation under section 168(k)</w:t>
      </w:r>
      <w:r w:rsidR="00896486">
        <w:rPr>
          <w:rFonts w:ascii="Times New Roman" w:hAnsi="Times New Roman" w:cs="Times New Roman"/>
          <w:sz w:val="24"/>
          <w:szCs w:val="24"/>
        </w:rPr>
        <w:t xml:space="preserve"> </w:t>
      </w:r>
      <w:r w:rsidR="00896486">
        <w:rPr>
          <w:rFonts w:ascii="Times New Roman" w:hAnsi="Times New Roman" w:cs="Times New Roman"/>
          <w:sz w:val="24"/>
          <w:szCs w:val="24"/>
        </w:rPr>
        <w:t>(</w:t>
      </w:r>
      <w:proofErr w:type="spellStart"/>
      <w:r w:rsidR="00896486">
        <w:rPr>
          <w:rFonts w:ascii="Times New Roman" w:eastAsia="Times New Roman" w:hAnsi="Times New Roman" w:cs="Times New Roman"/>
          <w:sz w:val="24"/>
          <w:szCs w:val="24"/>
          <w:lang w:val="en-AU" w:eastAsia="en-AU"/>
        </w:rPr>
        <w:t>Ohrn</w:t>
      </w:r>
      <w:proofErr w:type="spellEnd"/>
      <w:r w:rsidR="00896486">
        <w:rPr>
          <w:rFonts w:ascii="Times New Roman" w:eastAsia="Times New Roman" w:hAnsi="Times New Roman" w:cs="Times New Roman"/>
          <w:sz w:val="24"/>
          <w:szCs w:val="24"/>
          <w:lang w:val="en-AU" w:eastAsia="en-AU"/>
        </w:rPr>
        <w:t xml:space="preserve">, </w:t>
      </w:r>
      <w:r w:rsidR="00896486" w:rsidRPr="007375B0">
        <w:rPr>
          <w:rFonts w:ascii="Times New Roman" w:eastAsia="Times New Roman" w:hAnsi="Times New Roman" w:cs="Times New Roman"/>
          <w:sz w:val="24"/>
          <w:szCs w:val="24"/>
          <w:lang w:val="en-AU" w:eastAsia="en-AU"/>
        </w:rPr>
        <w:t>2019).</w:t>
      </w:r>
      <w:r w:rsidR="008E755A" w:rsidRPr="00C813FF">
        <w:rPr>
          <w:rFonts w:ascii="Times New Roman" w:hAnsi="Times New Roman" w:cs="Times New Roman"/>
          <w:sz w:val="24"/>
          <w:szCs w:val="24"/>
        </w:rPr>
        <w:t xml:space="preserve"> T</w:t>
      </w:r>
      <w:r w:rsidR="00820103" w:rsidRPr="00C813FF">
        <w:rPr>
          <w:rFonts w:ascii="Times New Roman" w:hAnsi="Times New Roman" w:cs="Times New Roman"/>
          <w:sz w:val="24"/>
          <w:szCs w:val="24"/>
        </w:rPr>
        <w:t xml:space="preserve">here are two </w:t>
      </w:r>
      <w:r w:rsidR="008E755A" w:rsidRPr="00C813FF">
        <w:rPr>
          <w:rFonts w:ascii="Times New Roman" w:hAnsi="Times New Roman" w:cs="Times New Roman"/>
          <w:sz w:val="24"/>
          <w:szCs w:val="24"/>
        </w:rPr>
        <w:t>ways Nora</w:t>
      </w:r>
      <w:r w:rsidR="00820103" w:rsidRPr="00C813FF">
        <w:rPr>
          <w:rFonts w:ascii="Times New Roman" w:hAnsi="Times New Roman" w:cs="Times New Roman"/>
          <w:sz w:val="24"/>
          <w:szCs w:val="24"/>
        </w:rPr>
        <w:t xml:space="preserve"> can take advantage of Bonus Depreciation when placing your equipment into service.</w:t>
      </w:r>
    </w:p>
    <w:p w:rsidR="005B5AEC" w:rsidRPr="00C813FF" w:rsidRDefault="008E755A" w:rsidP="006619A8">
      <w:pPr>
        <w:spacing w:line="480" w:lineRule="auto"/>
        <w:jc w:val="both"/>
        <w:rPr>
          <w:rFonts w:ascii="Times New Roman" w:hAnsi="Times New Roman" w:cs="Times New Roman"/>
          <w:sz w:val="24"/>
          <w:szCs w:val="24"/>
        </w:rPr>
      </w:pPr>
      <w:r w:rsidRPr="00C813FF">
        <w:rPr>
          <w:rFonts w:ascii="Times New Roman" w:hAnsi="Times New Roman" w:cs="Times New Roman"/>
          <w:sz w:val="24"/>
          <w:szCs w:val="24"/>
        </w:rPr>
        <w:tab/>
      </w:r>
      <w:r w:rsidR="005B5AEC" w:rsidRPr="00C813FF">
        <w:rPr>
          <w:rFonts w:ascii="Times New Roman" w:hAnsi="Times New Roman" w:cs="Times New Roman"/>
          <w:sz w:val="24"/>
          <w:szCs w:val="24"/>
        </w:rPr>
        <w:t>The first method is to elect the 100% bonus depreciation for a new asset that costs less than $510,000. This election must be made on Part II of Form 8900 and cannot exceed certain limits based o</w:t>
      </w:r>
      <w:r w:rsidR="005B5AEC" w:rsidRPr="00C813FF">
        <w:rPr>
          <w:rFonts w:ascii="Times New Roman" w:hAnsi="Times New Roman" w:cs="Times New Roman"/>
          <w:sz w:val="24"/>
          <w:szCs w:val="24"/>
        </w:rPr>
        <w:t xml:space="preserve">n when the asset was acquired. </w:t>
      </w:r>
    </w:p>
    <w:p w:rsidR="00EA32D0" w:rsidRDefault="008E755A" w:rsidP="006619A8">
      <w:pPr>
        <w:spacing w:line="480" w:lineRule="auto"/>
        <w:jc w:val="both"/>
        <w:rPr>
          <w:rFonts w:ascii="Times New Roman" w:hAnsi="Times New Roman" w:cs="Times New Roman"/>
          <w:sz w:val="24"/>
          <w:szCs w:val="24"/>
        </w:rPr>
      </w:pPr>
      <w:r w:rsidRPr="00C813FF">
        <w:rPr>
          <w:rFonts w:ascii="Times New Roman" w:hAnsi="Times New Roman" w:cs="Times New Roman"/>
          <w:sz w:val="24"/>
          <w:szCs w:val="24"/>
        </w:rPr>
        <w:tab/>
      </w:r>
      <w:r w:rsidR="005B5AEC" w:rsidRPr="00C813FF">
        <w:rPr>
          <w:rFonts w:ascii="Times New Roman" w:hAnsi="Times New Roman" w:cs="Times New Roman"/>
          <w:sz w:val="24"/>
          <w:szCs w:val="24"/>
        </w:rPr>
        <w:t>The second way can use Section 168(k) Bonus Depreciation as long as it qualifies under one of two sections-168(k)(ii) or (iii)</w:t>
      </w:r>
      <w:r w:rsidR="00896486">
        <w:rPr>
          <w:rFonts w:ascii="Times New Roman" w:hAnsi="Times New Roman" w:cs="Times New Roman"/>
          <w:sz w:val="24"/>
          <w:szCs w:val="24"/>
        </w:rPr>
        <w:t xml:space="preserve"> (</w:t>
      </w:r>
      <w:r w:rsidR="00896486" w:rsidRPr="007375B0">
        <w:rPr>
          <w:rFonts w:ascii="Times New Roman" w:eastAsia="Times New Roman" w:hAnsi="Times New Roman" w:cs="Times New Roman"/>
          <w:sz w:val="24"/>
          <w:szCs w:val="24"/>
          <w:lang w:val="en-AU" w:eastAsia="en-AU"/>
        </w:rPr>
        <w:t>Garrett</w:t>
      </w:r>
      <w:r w:rsidR="00896486">
        <w:rPr>
          <w:rFonts w:ascii="Times New Roman" w:eastAsia="Times New Roman" w:hAnsi="Times New Roman" w:cs="Times New Roman"/>
          <w:sz w:val="24"/>
          <w:szCs w:val="24"/>
          <w:lang w:val="en-AU" w:eastAsia="en-AU"/>
        </w:rPr>
        <w:t xml:space="preserve"> et al., 2020)</w:t>
      </w:r>
      <w:r w:rsidR="005B5AEC" w:rsidRPr="00C813FF">
        <w:rPr>
          <w:rFonts w:ascii="Times New Roman" w:hAnsi="Times New Roman" w:cs="Times New Roman"/>
          <w:sz w:val="24"/>
          <w:szCs w:val="24"/>
        </w:rPr>
        <w:t>. You must also meet additional requirements such as those in section 246(b), at least 50% of your total gross income from all trades and businesses comes from depreciable property used in connection with any trade or business where you materially participate; this does not include passive activity losses generated by real estate rental properties, for example.</w:t>
      </w:r>
      <w:r w:rsidRPr="00C813FF">
        <w:rPr>
          <w:rFonts w:ascii="Times New Roman" w:hAnsi="Times New Roman" w:cs="Times New Roman"/>
          <w:sz w:val="24"/>
          <w:szCs w:val="24"/>
        </w:rPr>
        <w:t xml:space="preserve"> </w:t>
      </w:r>
      <w:r w:rsidR="00EA32D0" w:rsidRPr="00C813FF">
        <w:rPr>
          <w:rFonts w:ascii="Times New Roman" w:hAnsi="Times New Roman" w:cs="Times New Roman"/>
          <w:sz w:val="24"/>
          <w:szCs w:val="24"/>
        </w:rPr>
        <w:t>Therefore</w:t>
      </w:r>
      <w:r w:rsidRPr="00C813FF">
        <w:rPr>
          <w:rFonts w:ascii="Times New Roman" w:hAnsi="Times New Roman" w:cs="Times New Roman"/>
          <w:sz w:val="24"/>
          <w:szCs w:val="24"/>
        </w:rPr>
        <w:t>,</w:t>
      </w:r>
      <w:r w:rsidR="00EA32D0" w:rsidRPr="00C813FF">
        <w:rPr>
          <w:rFonts w:ascii="Times New Roman" w:hAnsi="Times New Roman" w:cs="Times New Roman"/>
          <w:sz w:val="24"/>
          <w:szCs w:val="24"/>
        </w:rPr>
        <w:t xml:space="preserve"> the total deductions for Nora's bakery are $38,000 with a cost basis of $107,000 (the original purchase price less depreciation). The net taxable income is negative ($89,000)</w:t>
      </w:r>
      <w:r w:rsidR="00207E0D">
        <w:rPr>
          <w:rFonts w:ascii="Times New Roman" w:hAnsi="Times New Roman" w:cs="Times New Roman"/>
          <w:sz w:val="24"/>
          <w:szCs w:val="24"/>
        </w:rPr>
        <w:t>, which means</w:t>
      </w:r>
      <w:r w:rsidR="00EA32D0" w:rsidRPr="00C813FF">
        <w:rPr>
          <w:rFonts w:ascii="Times New Roman" w:hAnsi="Times New Roman" w:cs="Times New Roman"/>
          <w:sz w:val="24"/>
          <w:szCs w:val="24"/>
        </w:rPr>
        <w:t xml:space="preserve"> she would get a refund of any taxes owed.</w:t>
      </w:r>
    </w:p>
    <w:p w:rsidR="007375B0" w:rsidRDefault="007375B0" w:rsidP="006619A8">
      <w:pPr>
        <w:spacing w:line="480" w:lineRule="auto"/>
        <w:jc w:val="both"/>
        <w:rPr>
          <w:rFonts w:ascii="Times New Roman" w:hAnsi="Times New Roman" w:cs="Times New Roman"/>
          <w:sz w:val="24"/>
          <w:szCs w:val="24"/>
        </w:rPr>
      </w:pPr>
    </w:p>
    <w:p w:rsidR="007375B0" w:rsidRDefault="007375B0" w:rsidP="006619A8">
      <w:pPr>
        <w:spacing w:line="480" w:lineRule="auto"/>
        <w:jc w:val="both"/>
        <w:rPr>
          <w:rFonts w:ascii="Times New Roman" w:hAnsi="Times New Roman" w:cs="Times New Roman"/>
          <w:sz w:val="24"/>
          <w:szCs w:val="24"/>
        </w:rPr>
      </w:pPr>
    </w:p>
    <w:p w:rsidR="007375B0" w:rsidRDefault="007375B0" w:rsidP="006619A8">
      <w:pPr>
        <w:spacing w:line="480" w:lineRule="auto"/>
        <w:jc w:val="both"/>
        <w:rPr>
          <w:rFonts w:ascii="Times New Roman" w:hAnsi="Times New Roman" w:cs="Times New Roman"/>
          <w:sz w:val="24"/>
          <w:szCs w:val="24"/>
        </w:rPr>
      </w:pPr>
    </w:p>
    <w:p w:rsidR="007375B0" w:rsidRDefault="007375B0" w:rsidP="006619A8">
      <w:pPr>
        <w:spacing w:line="480" w:lineRule="auto"/>
        <w:jc w:val="both"/>
        <w:rPr>
          <w:rFonts w:ascii="Times New Roman" w:hAnsi="Times New Roman" w:cs="Times New Roman"/>
          <w:sz w:val="24"/>
          <w:szCs w:val="24"/>
        </w:rPr>
      </w:pPr>
    </w:p>
    <w:p w:rsidR="007375B0" w:rsidRDefault="007375B0" w:rsidP="006619A8">
      <w:pPr>
        <w:spacing w:line="480" w:lineRule="auto"/>
        <w:jc w:val="both"/>
        <w:rPr>
          <w:rFonts w:ascii="Times New Roman" w:hAnsi="Times New Roman" w:cs="Times New Roman"/>
          <w:sz w:val="24"/>
          <w:szCs w:val="24"/>
        </w:rPr>
      </w:pPr>
    </w:p>
    <w:p w:rsidR="007375B0" w:rsidRDefault="007375B0" w:rsidP="006619A8">
      <w:pPr>
        <w:spacing w:line="480" w:lineRule="auto"/>
        <w:jc w:val="both"/>
        <w:rPr>
          <w:rFonts w:ascii="Times New Roman" w:hAnsi="Times New Roman" w:cs="Times New Roman"/>
          <w:sz w:val="24"/>
          <w:szCs w:val="24"/>
        </w:rPr>
      </w:pPr>
    </w:p>
    <w:p w:rsidR="007375B0" w:rsidRDefault="007375B0" w:rsidP="006619A8">
      <w:pPr>
        <w:spacing w:line="480" w:lineRule="auto"/>
        <w:jc w:val="both"/>
        <w:rPr>
          <w:rFonts w:ascii="Times New Roman" w:hAnsi="Times New Roman" w:cs="Times New Roman"/>
          <w:sz w:val="24"/>
          <w:szCs w:val="24"/>
        </w:rPr>
      </w:pPr>
    </w:p>
    <w:p w:rsidR="007375B0" w:rsidRDefault="007375B0" w:rsidP="006619A8">
      <w:pPr>
        <w:spacing w:line="480" w:lineRule="auto"/>
        <w:jc w:val="both"/>
        <w:rPr>
          <w:rFonts w:ascii="Times New Roman" w:hAnsi="Times New Roman" w:cs="Times New Roman"/>
          <w:sz w:val="24"/>
          <w:szCs w:val="24"/>
        </w:rPr>
      </w:pPr>
    </w:p>
    <w:p w:rsidR="007375B0" w:rsidRDefault="007375B0" w:rsidP="006619A8">
      <w:pPr>
        <w:spacing w:line="480" w:lineRule="auto"/>
        <w:jc w:val="both"/>
        <w:rPr>
          <w:rFonts w:ascii="Times New Roman" w:hAnsi="Times New Roman" w:cs="Times New Roman"/>
          <w:sz w:val="24"/>
          <w:szCs w:val="24"/>
        </w:rPr>
      </w:pPr>
    </w:p>
    <w:p w:rsidR="007375B0" w:rsidRDefault="007375B0" w:rsidP="006619A8">
      <w:pPr>
        <w:spacing w:line="480" w:lineRule="auto"/>
        <w:jc w:val="both"/>
        <w:rPr>
          <w:rFonts w:ascii="Times New Roman" w:hAnsi="Times New Roman" w:cs="Times New Roman"/>
          <w:sz w:val="24"/>
          <w:szCs w:val="24"/>
        </w:rPr>
      </w:pPr>
    </w:p>
    <w:p w:rsidR="007375B0" w:rsidRDefault="007375B0" w:rsidP="006619A8">
      <w:pPr>
        <w:spacing w:line="480" w:lineRule="auto"/>
        <w:jc w:val="both"/>
        <w:rPr>
          <w:rFonts w:ascii="Times New Roman" w:hAnsi="Times New Roman" w:cs="Times New Roman"/>
          <w:sz w:val="24"/>
          <w:szCs w:val="24"/>
        </w:rPr>
      </w:pPr>
    </w:p>
    <w:p w:rsidR="007375B0" w:rsidRDefault="007375B0" w:rsidP="006619A8">
      <w:pPr>
        <w:spacing w:line="480" w:lineRule="auto"/>
        <w:jc w:val="both"/>
        <w:rPr>
          <w:rFonts w:ascii="Times New Roman" w:hAnsi="Times New Roman" w:cs="Times New Roman"/>
          <w:sz w:val="24"/>
          <w:szCs w:val="24"/>
        </w:rPr>
      </w:pPr>
    </w:p>
    <w:p w:rsidR="007375B0" w:rsidRDefault="007375B0" w:rsidP="006619A8">
      <w:pPr>
        <w:spacing w:line="480" w:lineRule="auto"/>
        <w:jc w:val="both"/>
        <w:rPr>
          <w:rFonts w:ascii="Times New Roman" w:hAnsi="Times New Roman" w:cs="Times New Roman"/>
          <w:sz w:val="24"/>
          <w:szCs w:val="24"/>
        </w:rPr>
      </w:pPr>
    </w:p>
    <w:p w:rsidR="007375B0" w:rsidRDefault="007375B0" w:rsidP="006619A8">
      <w:pPr>
        <w:spacing w:line="480" w:lineRule="auto"/>
        <w:jc w:val="both"/>
        <w:rPr>
          <w:rFonts w:ascii="Times New Roman" w:hAnsi="Times New Roman" w:cs="Times New Roman"/>
          <w:sz w:val="24"/>
          <w:szCs w:val="24"/>
        </w:rPr>
      </w:pPr>
    </w:p>
    <w:p w:rsidR="00B62E0A" w:rsidRDefault="00B62E0A" w:rsidP="006619A8">
      <w:pPr>
        <w:spacing w:line="480" w:lineRule="auto"/>
        <w:jc w:val="both"/>
        <w:rPr>
          <w:rFonts w:ascii="Times New Roman" w:hAnsi="Times New Roman" w:cs="Times New Roman"/>
          <w:sz w:val="24"/>
          <w:szCs w:val="24"/>
        </w:rPr>
      </w:pPr>
      <w:bookmarkStart w:id="0" w:name="_GoBack"/>
      <w:bookmarkEnd w:id="0"/>
    </w:p>
    <w:p w:rsidR="007375B0" w:rsidRDefault="007375B0" w:rsidP="006619A8">
      <w:pPr>
        <w:spacing w:line="480" w:lineRule="auto"/>
        <w:jc w:val="both"/>
        <w:rPr>
          <w:rFonts w:ascii="Times New Roman" w:hAnsi="Times New Roman" w:cs="Times New Roman"/>
          <w:sz w:val="24"/>
          <w:szCs w:val="24"/>
        </w:rPr>
      </w:pPr>
    </w:p>
    <w:p w:rsidR="007375B0" w:rsidRDefault="007375B0" w:rsidP="006619A8">
      <w:pPr>
        <w:spacing w:line="480" w:lineRule="auto"/>
        <w:jc w:val="both"/>
        <w:rPr>
          <w:rFonts w:ascii="Times New Roman" w:hAnsi="Times New Roman" w:cs="Times New Roman"/>
          <w:sz w:val="24"/>
          <w:szCs w:val="24"/>
        </w:rPr>
      </w:pPr>
    </w:p>
    <w:p w:rsidR="006619A8" w:rsidRPr="006619A8" w:rsidRDefault="007375B0" w:rsidP="006619A8">
      <w:pPr>
        <w:spacing w:line="480" w:lineRule="auto"/>
        <w:jc w:val="center"/>
        <w:rPr>
          <w:rFonts w:ascii="Times New Roman" w:hAnsi="Times New Roman" w:cs="Times New Roman"/>
          <w:b/>
          <w:sz w:val="24"/>
          <w:szCs w:val="24"/>
        </w:rPr>
      </w:pPr>
      <w:r w:rsidRPr="006619A8">
        <w:rPr>
          <w:rFonts w:ascii="Times New Roman" w:hAnsi="Times New Roman" w:cs="Times New Roman"/>
          <w:b/>
          <w:sz w:val="24"/>
          <w:szCs w:val="24"/>
        </w:rPr>
        <w:t>References</w:t>
      </w:r>
    </w:p>
    <w:p w:rsidR="006619A8" w:rsidRPr="007375B0" w:rsidRDefault="006619A8" w:rsidP="006619A8">
      <w:pPr>
        <w:spacing w:after="0" w:line="480" w:lineRule="auto"/>
        <w:ind w:left="720" w:hanging="720"/>
        <w:rPr>
          <w:rFonts w:ascii="Times New Roman" w:eastAsia="Times New Roman" w:hAnsi="Times New Roman" w:cs="Times New Roman"/>
          <w:sz w:val="24"/>
          <w:szCs w:val="24"/>
          <w:lang w:val="en-AU" w:eastAsia="en-AU"/>
        </w:rPr>
      </w:pPr>
      <w:proofErr w:type="spellStart"/>
      <w:r w:rsidRPr="007375B0">
        <w:rPr>
          <w:rFonts w:ascii="Times New Roman" w:eastAsia="Times New Roman" w:hAnsi="Times New Roman" w:cs="Times New Roman"/>
          <w:sz w:val="24"/>
          <w:szCs w:val="24"/>
          <w:lang w:val="en-AU" w:eastAsia="en-AU"/>
        </w:rPr>
        <w:t>Eichfelder</w:t>
      </w:r>
      <w:proofErr w:type="spellEnd"/>
      <w:r w:rsidRPr="007375B0">
        <w:rPr>
          <w:rFonts w:ascii="Times New Roman" w:eastAsia="Times New Roman" w:hAnsi="Times New Roman" w:cs="Times New Roman"/>
          <w:sz w:val="24"/>
          <w:szCs w:val="24"/>
          <w:lang w:val="en-AU" w:eastAsia="en-AU"/>
        </w:rPr>
        <w:t xml:space="preserve">, S., &amp; Schneider, K. (2018). </w:t>
      </w:r>
      <w:r w:rsidRPr="007375B0">
        <w:rPr>
          <w:rFonts w:ascii="Times New Roman" w:eastAsia="Times New Roman" w:hAnsi="Times New Roman" w:cs="Times New Roman"/>
          <w:i/>
          <w:iCs/>
          <w:sz w:val="24"/>
          <w:szCs w:val="24"/>
          <w:lang w:val="en-AU" w:eastAsia="en-AU"/>
        </w:rPr>
        <w:t>How do tax incentives affect business investment? Evidence from German bonus depreciation</w:t>
      </w:r>
      <w:r w:rsidRPr="007375B0">
        <w:rPr>
          <w:rFonts w:ascii="Times New Roman" w:eastAsia="Times New Roman" w:hAnsi="Times New Roman" w:cs="Times New Roman"/>
          <w:sz w:val="24"/>
          <w:szCs w:val="24"/>
          <w:lang w:val="en-AU" w:eastAsia="en-AU"/>
        </w:rPr>
        <w:t xml:space="preserve"> (No. 231). </w:t>
      </w:r>
      <w:proofErr w:type="spellStart"/>
      <w:r w:rsidRPr="007375B0">
        <w:rPr>
          <w:rFonts w:ascii="Times New Roman" w:eastAsia="Times New Roman" w:hAnsi="Times New Roman" w:cs="Times New Roman"/>
          <w:sz w:val="24"/>
          <w:szCs w:val="24"/>
          <w:lang w:val="en-AU" w:eastAsia="en-AU"/>
        </w:rPr>
        <w:t>arqus</w:t>
      </w:r>
      <w:proofErr w:type="spellEnd"/>
      <w:r w:rsidRPr="007375B0">
        <w:rPr>
          <w:rFonts w:ascii="Times New Roman" w:eastAsia="Times New Roman" w:hAnsi="Times New Roman" w:cs="Times New Roman"/>
          <w:sz w:val="24"/>
          <w:szCs w:val="24"/>
          <w:lang w:val="en-AU" w:eastAsia="en-AU"/>
        </w:rPr>
        <w:t xml:space="preserve"> Discussion Paper.</w:t>
      </w:r>
    </w:p>
    <w:p w:rsidR="006619A8" w:rsidRPr="007375B0" w:rsidRDefault="006619A8" w:rsidP="006619A8">
      <w:pPr>
        <w:spacing w:after="0" w:line="480" w:lineRule="auto"/>
        <w:ind w:left="720" w:hanging="720"/>
        <w:rPr>
          <w:rFonts w:ascii="Times New Roman" w:eastAsia="Times New Roman" w:hAnsi="Times New Roman" w:cs="Times New Roman"/>
          <w:sz w:val="24"/>
          <w:szCs w:val="24"/>
          <w:lang w:val="en-AU" w:eastAsia="en-AU"/>
        </w:rPr>
      </w:pPr>
      <w:r w:rsidRPr="007375B0">
        <w:rPr>
          <w:rFonts w:ascii="Times New Roman" w:eastAsia="Times New Roman" w:hAnsi="Times New Roman" w:cs="Times New Roman"/>
          <w:sz w:val="24"/>
          <w:szCs w:val="24"/>
          <w:lang w:val="en-AU" w:eastAsia="en-AU"/>
        </w:rPr>
        <w:t xml:space="preserve">Garrett, D. G., </w:t>
      </w:r>
      <w:proofErr w:type="spellStart"/>
      <w:r w:rsidRPr="007375B0">
        <w:rPr>
          <w:rFonts w:ascii="Times New Roman" w:eastAsia="Times New Roman" w:hAnsi="Times New Roman" w:cs="Times New Roman"/>
          <w:sz w:val="24"/>
          <w:szCs w:val="24"/>
          <w:lang w:val="en-AU" w:eastAsia="en-AU"/>
        </w:rPr>
        <w:t>Ohrn</w:t>
      </w:r>
      <w:proofErr w:type="spellEnd"/>
      <w:r w:rsidRPr="007375B0">
        <w:rPr>
          <w:rFonts w:ascii="Times New Roman" w:eastAsia="Times New Roman" w:hAnsi="Times New Roman" w:cs="Times New Roman"/>
          <w:sz w:val="24"/>
          <w:szCs w:val="24"/>
          <w:lang w:val="en-AU" w:eastAsia="en-AU"/>
        </w:rPr>
        <w:t xml:space="preserve">, E., &amp; Suárez </w:t>
      </w:r>
      <w:proofErr w:type="spellStart"/>
      <w:r w:rsidRPr="007375B0">
        <w:rPr>
          <w:rFonts w:ascii="Times New Roman" w:eastAsia="Times New Roman" w:hAnsi="Times New Roman" w:cs="Times New Roman"/>
          <w:sz w:val="24"/>
          <w:szCs w:val="24"/>
          <w:lang w:val="en-AU" w:eastAsia="en-AU"/>
        </w:rPr>
        <w:t>Serrato</w:t>
      </w:r>
      <w:proofErr w:type="spellEnd"/>
      <w:r w:rsidRPr="007375B0">
        <w:rPr>
          <w:rFonts w:ascii="Times New Roman" w:eastAsia="Times New Roman" w:hAnsi="Times New Roman" w:cs="Times New Roman"/>
          <w:sz w:val="24"/>
          <w:szCs w:val="24"/>
          <w:lang w:val="en-AU" w:eastAsia="en-AU"/>
        </w:rPr>
        <w:t xml:space="preserve">, J. C. (2020). Tax policy and local </w:t>
      </w:r>
      <w:proofErr w:type="spellStart"/>
      <w:r w:rsidRPr="007375B0">
        <w:rPr>
          <w:rFonts w:ascii="Times New Roman" w:eastAsia="Times New Roman" w:hAnsi="Times New Roman" w:cs="Times New Roman"/>
          <w:sz w:val="24"/>
          <w:szCs w:val="24"/>
          <w:lang w:val="en-AU" w:eastAsia="en-AU"/>
        </w:rPr>
        <w:t>labor</w:t>
      </w:r>
      <w:proofErr w:type="spellEnd"/>
      <w:r w:rsidRPr="007375B0">
        <w:rPr>
          <w:rFonts w:ascii="Times New Roman" w:eastAsia="Times New Roman" w:hAnsi="Times New Roman" w:cs="Times New Roman"/>
          <w:sz w:val="24"/>
          <w:szCs w:val="24"/>
          <w:lang w:val="en-AU" w:eastAsia="en-AU"/>
        </w:rPr>
        <w:t xml:space="preserve"> market </w:t>
      </w:r>
      <w:proofErr w:type="spellStart"/>
      <w:r w:rsidRPr="007375B0">
        <w:rPr>
          <w:rFonts w:ascii="Times New Roman" w:eastAsia="Times New Roman" w:hAnsi="Times New Roman" w:cs="Times New Roman"/>
          <w:sz w:val="24"/>
          <w:szCs w:val="24"/>
          <w:lang w:val="en-AU" w:eastAsia="en-AU"/>
        </w:rPr>
        <w:t>behavior</w:t>
      </w:r>
      <w:proofErr w:type="spellEnd"/>
      <w:r w:rsidRPr="007375B0">
        <w:rPr>
          <w:rFonts w:ascii="Times New Roman" w:eastAsia="Times New Roman" w:hAnsi="Times New Roman" w:cs="Times New Roman"/>
          <w:sz w:val="24"/>
          <w:szCs w:val="24"/>
          <w:lang w:val="en-AU" w:eastAsia="en-AU"/>
        </w:rPr>
        <w:t xml:space="preserve">. </w:t>
      </w:r>
      <w:r w:rsidRPr="007375B0">
        <w:rPr>
          <w:rFonts w:ascii="Times New Roman" w:eastAsia="Times New Roman" w:hAnsi="Times New Roman" w:cs="Times New Roman"/>
          <w:i/>
          <w:iCs/>
          <w:sz w:val="24"/>
          <w:szCs w:val="24"/>
          <w:lang w:val="en-AU" w:eastAsia="en-AU"/>
        </w:rPr>
        <w:t>American Economic Review: Insights</w:t>
      </w:r>
      <w:r w:rsidRPr="007375B0">
        <w:rPr>
          <w:rFonts w:ascii="Times New Roman" w:eastAsia="Times New Roman" w:hAnsi="Times New Roman" w:cs="Times New Roman"/>
          <w:sz w:val="24"/>
          <w:szCs w:val="24"/>
          <w:lang w:val="en-AU" w:eastAsia="en-AU"/>
        </w:rPr>
        <w:t xml:space="preserve">, </w:t>
      </w:r>
      <w:r w:rsidRPr="007375B0">
        <w:rPr>
          <w:rFonts w:ascii="Times New Roman" w:eastAsia="Times New Roman" w:hAnsi="Times New Roman" w:cs="Times New Roman"/>
          <w:i/>
          <w:iCs/>
          <w:sz w:val="24"/>
          <w:szCs w:val="24"/>
          <w:lang w:val="en-AU" w:eastAsia="en-AU"/>
        </w:rPr>
        <w:t>2</w:t>
      </w:r>
      <w:r w:rsidRPr="007375B0">
        <w:rPr>
          <w:rFonts w:ascii="Times New Roman" w:eastAsia="Times New Roman" w:hAnsi="Times New Roman" w:cs="Times New Roman"/>
          <w:sz w:val="24"/>
          <w:szCs w:val="24"/>
          <w:lang w:val="en-AU" w:eastAsia="en-AU"/>
        </w:rPr>
        <w:t>(1), 83-100.</w:t>
      </w:r>
    </w:p>
    <w:p w:rsidR="006619A8" w:rsidRPr="007375B0" w:rsidRDefault="006619A8" w:rsidP="006619A8">
      <w:pPr>
        <w:spacing w:after="0" w:line="480" w:lineRule="auto"/>
        <w:ind w:left="720" w:hanging="720"/>
        <w:rPr>
          <w:rFonts w:ascii="Times New Roman" w:eastAsia="Times New Roman" w:hAnsi="Times New Roman" w:cs="Times New Roman"/>
          <w:sz w:val="24"/>
          <w:szCs w:val="24"/>
          <w:lang w:val="en-AU" w:eastAsia="en-AU"/>
        </w:rPr>
      </w:pPr>
      <w:proofErr w:type="spellStart"/>
      <w:r w:rsidRPr="007375B0">
        <w:rPr>
          <w:rFonts w:ascii="Times New Roman" w:eastAsia="Times New Roman" w:hAnsi="Times New Roman" w:cs="Times New Roman"/>
          <w:sz w:val="24"/>
          <w:szCs w:val="24"/>
          <w:lang w:val="en-AU" w:eastAsia="en-AU"/>
        </w:rPr>
        <w:t>Ohrn</w:t>
      </w:r>
      <w:proofErr w:type="spellEnd"/>
      <w:r w:rsidRPr="007375B0">
        <w:rPr>
          <w:rFonts w:ascii="Times New Roman" w:eastAsia="Times New Roman" w:hAnsi="Times New Roman" w:cs="Times New Roman"/>
          <w:sz w:val="24"/>
          <w:szCs w:val="24"/>
          <w:lang w:val="en-AU" w:eastAsia="en-AU"/>
        </w:rPr>
        <w:t xml:space="preserve">, E. (2019). The effect of tax incentives on US manufacturing: Evidence from state accelerated depreciation policies. </w:t>
      </w:r>
      <w:r w:rsidRPr="007375B0">
        <w:rPr>
          <w:rFonts w:ascii="Times New Roman" w:eastAsia="Times New Roman" w:hAnsi="Times New Roman" w:cs="Times New Roman"/>
          <w:i/>
          <w:iCs/>
          <w:sz w:val="24"/>
          <w:szCs w:val="24"/>
          <w:lang w:val="en-AU" w:eastAsia="en-AU"/>
        </w:rPr>
        <w:t>Journal of Public Economics</w:t>
      </w:r>
      <w:r w:rsidRPr="007375B0">
        <w:rPr>
          <w:rFonts w:ascii="Times New Roman" w:eastAsia="Times New Roman" w:hAnsi="Times New Roman" w:cs="Times New Roman"/>
          <w:sz w:val="24"/>
          <w:szCs w:val="24"/>
          <w:lang w:val="en-AU" w:eastAsia="en-AU"/>
        </w:rPr>
        <w:t xml:space="preserve">, </w:t>
      </w:r>
      <w:r w:rsidRPr="007375B0">
        <w:rPr>
          <w:rFonts w:ascii="Times New Roman" w:eastAsia="Times New Roman" w:hAnsi="Times New Roman" w:cs="Times New Roman"/>
          <w:i/>
          <w:iCs/>
          <w:sz w:val="24"/>
          <w:szCs w:val="24"/>
          <w:lang w:val="en-AU" w:eastAsia="en-AU"/>
        </w:rPr>
        <w:t>180</w:t>
      </w:r>
      <w:r w:rsidRPr="007375B0">
        <w:rPr>
          <w:rFonts w:ascii="Times New Roman" w:eastAsia="Times New Roman" w:hAnsi="Times New Roman" w:cs="Times New Roman"/>
          <w:sz w:val="24"/>
          <w:szCs w:val="24"/>
          <w:lang w:val="en-AU" w:eastAsia="en-AU"/>
        </w:rPr>
        <w:t>, 104084.</w:t>
      </w:r>
    </w:p>
    <w:p w:rsidR="007375B0" w:rsidRPr="00C813FF" w:rsidRDefault="007375B0" w:rsidP="006619A8">
      <w:pPr>
        <w:spacing w:line="480" w:lineRule="auto"/>
        <w:jc w:val="both"/>
        <w:rPr>
          <w:rFonts w:ascii="Times New Roman" w:hAnsi="Times New Roman" w:cs="Times New Roman"/>
          <w:sz w:val="24"/>
          <w:szCs w:val="24"/>
        </w:rPr>
      </w:pPr>
    </w:p>
    <w:p w:rsidR="00EA32D0" w:rsidRPr="00C813FF" w:rsidRDefault="00EA32D0" w:rsidP="006619A8">
      <w:pPr>
        <w:spacing w:line="480" w:lineRule="auto"/>
        <w:jc w:val="both"/>
        <w:rPr>
          <w:rFonts w:ascii="Times New Roman" w:hAnsi="Times New Roman" w:cs="Times New Roman"/>
          <w:sz w:val="24"/>
          <w:szCs w:val="24"/>
        </w:rPr>
      </w:pPr>
    </w:p>
    <w:p w:rsidR="0092600B" w:rsidRPr="00C813FF" w:rsidRDefault="0092600B" w:rsidP="006619A8">
      <w:pPr>
        <w:spacing w:line="480" w:lineRule="auto"/>
        <w:jc w:val="both"/>
        <w:rPr>
          <w:rFonts w:ascii="Times New Roman" w:hAnsi="Times New Roman" w:cs="Times New Roman"/>
          <w:sz w:val="24"/>
          <w:szCs w:val="24"/>
        </w:rPr>
      </w:pPr>
    </w:p>
    <w:sectPr w:rsidR="0092600B" w:rsidRPr="00C813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Y1NTY3MDYyMDc3MzBR0lEKTi0uzszPAykwrAUA/hT2LCwAAAA="/>
  </w:docVars>
  <w:rsids>
    <w:rsidRoot w:val="00D42C38"/>
    <w:rsid w:val="000343DF"/>
    <w:rsid w:val="000D2B74"/>
    <w:rsid w:val="00207E0D"/>
    <w:rsid w:val="003630BB"/>
    <w:rsid w:val="005B5AEC"/>
    <w:rsid w:val="006619A8"/>
    <w:rsid w:val="007375B0"/>
    <w:rsid w:val="00820103"/>
    <w:rsid w:val="00896486"/>
    <w:rsid w:val="008E755A"/>
    <w:rsid w:val="0092600B"/>
    <w:rsid w:val="009B4AEA"/>
    <w:rsid w:val="00A40169"/>
    <w:rsid w:val="00B62E0A"/>
    <w:rsid w:val="00C813FF"/>
    <w:rsid w:val="00C9110F"/>
    <w:rsid w:val="00D42C38"/>
    <w:rsid w:val="00DD7B99"/>
    <w:rsid w:val="00EA32D0"/>
    <w:rsid w:val="00FD1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6C4FE"/>
  <w15:chartTrackingRefBased/>
  <w15:docId w15:val="{F2D9C5D1-E1A6-4216-A10B-8FB043415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250770">
      <w:bodyDiv w:val="1"/>
      <w:marLeft w:val="0"/>
      <w:marRight w:val="0"/>
      <w:marTop w:val="0"/>
      <w:marBottom w:val="0"/>
      <w:divBdr>
        <w:top w:val="none" w:sz="0" w:space="0" w:color="auto"/>
        <w:left w:val="none" w:sz="0" w:space="0" w:color="auto"/>
        <w:bottom w:val="none" w:sz="0" w:space="0" w:color="auto"/>
        <w:right w:val="none" w:sz="0" w:space="0" w:color="auto"/>
      </w:divBdr>
      <w:divsChild>
        <w:div w:id="1785073472">
          <w:marLeft w:val="0"/>
          <w:marRight w:val="0"/>
          <w:marTop w:val="0"/>
          <w:marBottom w:val="0"/>
          <w:divBdr>
            <w:top w:val="none" w:sz="0" w:space="0" w:color="auto"/>
            <w:left w:val="none" w:sz="0" w:space="0" w:color="auto"/>
            <w:bottom w:val="none" w:sz="0" w:space="0" w:color="auto"/>
            <w:right w:val="none" w:sz="0" w:space="0" w:color="auto"/>
          </w:divBdr>
        </w:div>
      </w:divsChild>
    </w:div>
    <w:div w:id="132719501">
      <w:bodyDiv w:val="1"/>
      <w:marLeft w:val="0"/>
      <w:marRight w:val="0"/>
      <w:marTop w:val="0"/>
      <w:marBottom w:val="0"/>
      <w:divBdr>
        <w:top w:val="none" w:sz="0" w:space="0" w:color="auto"/>
        <w:left w:val="none" w:sz="0" w:space="0" w:color="auto"/>
        <w:bottom w:val="none" w:sz="0" w:space="0" w:color="auto"/>
        <w:right w:val="none" w:sz="0" w:space="0" w:color="auto"/>
      </w:divBdr>
      <w:divsChild>
        <w:div w:id="1726489109">
          <w:marLeft w:val="0"/>
          <w:marRight w:val="0"/>
          <w:marTop w:val="0"/>
          <w:marBottom w:val="0"/>
          <w:divBdr>
            <w:top w:val="none" w:sz="0" w:space="0" w:color="auto"/>
            <w:left w:val="none" w:sz="0" w:space="0" w:color="auto"/>
            <w:bottom w:val="none" w:sz="0" w:space="0" w:color="auto"/>
            <w:right w:val="none" w:sz="0" w:space="0" w:color="auto"/>
          </w:divBdr>
        </w:div>
      </w:divsChild>
    </w:div>
    <w:div w:id="199780609">
      <w:bodyDiv w:val="1"/>
      <w:marLeft w:val="0"/>
      <w:marRight w:val="0"/>
      <w:marTop w:val="0"/>
      <w:marBottom w:val="0"/>
      <w:divBdr>
        <w:top w:val="none" w:sz="0" w:space="0" w:color="auto"/>
        <w:left w:val="none" w:sz="0" w:space="0" w:color="auto"/>
        <w:bottom w:val="none" w:sz="0" w:space="0" w:color="auto"/>
        <w:right w:val="none" w:sz="0" w:space="0" w:color="auto"/>
      </w:divBdr>
      <w:divsChild>
        <w:div w:id="14589878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4</Pages>
  <Words>611</Words>
  <Characters>3489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25</cp:revision>
  <dcterms:created xsi:type="dcterms:W3CDTF">2021-08-16T01:05:00Z</dcterms:created>
  <dcterms:modified xsi:type="dcterms:W3CDTF">2021-08-16T02:18:00Z</dcterms:modified>
</cp:coreProperties>
</file>